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7966" w14:textId="77777777" w:rsidR="00E05A54" w:rsidRPr="003C4C9D" w:rsidRDefault="00E05A54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  <w:r w:rsidRPr="003C4C9D">
        <w:rPr>
          <w:rFonts w:ascii="Aptos" w:eastAsia="Times New Roman" w:hAnsi="Aptos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CD2AFE1" wp14:editId="4227D83B">
            <wp:simplePos x="0" y="0"/>
            <wp:positionH relativeFrom="column">
              <wp:posOffset>85725</wp:posOffset>
            </wp:positionH>
            <wp:positionV relativeFrom="paragraph">
              <wp:posOffset>99060</wp:posOffset>
            </wp:positionV>
            <wp:extent cx="628650" cy="809625"/>
            <wp:effectExtent l="19050" t="0" r="0" b="0"/>
            <wp:wrapSquare wrapText="bothSides"/>
            <wp:docPr id="2" name="Picture 2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_g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50010D9" w14:textId="77777777" w:rsidR="00E05A54" w:rsidRPr="003C4C9D" w:rsidRDefault="00E05A54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</w:p>
    <w:p w14:paraId="138B7EF5" w14:textId="77777777" w:rsidR="00E05A54" w:rsidRPr="003C4C9D" w:rsidRDefault="00E05A54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717CB6A7" w14:textId="77777777" w:rsidR="006D2B42" w:rsidRPr="003C4C9D" w:rsidRDefault="006D2B42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6789124B" w14:textId="77777777" w:rsidR="006D2B42" w:rsidRPr="003C4C9D" w:rsidRDefault="006D2B42" w:rsidP="009D641F">
      <w:pPr>
        <w:spacing w:after="0" w:line="276" w:lineRule="auto"/>
        <w:rPr>
          <w:rFonts w:ascii="Aptos" w:eastAsia="Calibri" w:hAnsi="Aptos" w:cs="Times New Roman"/>
          <w:sz w:val="24"/>
          <w:szCs w:val="24"/>
        </w:rPr>
      </w:pPr>
    </w:p>
    <w:p w14:paraId="2715DEF9" w14:textId="6481EDB5" w:rsidR="00E05A54" w:rsidRPr="003C4C9D" w:rsidRDefault="00E05A54" w:rsidP="009D641F">
      <w:pPr>
        <w:spacing w:after="0" w:line="276" w:lineRule="auto"/>
        <w:rPr>
          <w:rFonts w:ascii="Aptos" w:eastAsia="Calibri" w:hAnsi="Aptos" w:cs="Times New Roman"/>
          <w:b/>
          <w:sz w:val="24"/>
          <w:szCs w:val="24"/>
        </w:rPr>
      </w:pPr>
      <w:r w:rsidRPr="003C4C9D">
        <w:rPr>
          <w:rFonts w:ascii="Aptos" w:eastAsia="Calibri" w:hAnsi="Aptos" w:cs="Times New Roman"/>
          <w:b/>
          <w:sz w:val="24"/>
          <w:szCs w:val="24"/>
        </w:rPr>
        <w:t>REPUBLIKA HRVATSKA</w:t>
      </w:r>
    </w:p>
    <w:p w14:paraId="7B4A5CAD" w14:textId="3D35738C" w:rsidR="006D2B42" w:rsidRPr="003C4C9D" w:rsidRDefault="006D2B42" w:rsidP="009D641F">
      <w:pPr>
        <w:spacing w:after="0" w:line="276" w:lineRule="auto"/>
        <w:rPr>
          <w:rFonts w:ascii="Aptos" w:hAnsi="Aptos" w:cs="Times New Roman"/>
          <w:b/>
          <w:bCs/>
          <w:sz w:val="24"/>
          <w:szCs w:val="24"/>
        </w:rPr>
      </w:pPr>
      <w:r w:rsidRPr="003C4C9D">
        <w:rPr>
          <w:rFonts w:ascii="Aptos" w:hAnsi="Aptos" w:cs="Times New Roman"/>
          <w:b/>
          <w:bCs/>
          <w:sz w:val="24"/>
          <w:szCs w:val="24"/>
        </w:rPr>
        <w:t>DJEČJI VRTIĆ METKOVIĆ</w:t>
      </w:r>
    </w:p>
    <w:p w14:paraId="4A32FCF4" w14:textId="5DC53328" w:rsidR="006D2B42" w:rsidRPr="003C4C9D" w:rsidRDefault="000551CA" w:rsidP="009D641F">
      <w:pPr>
        <w:spacing w:after="0" w:line="276" w:lineRule="auto"/>
        <w:rPr>
          <w:rFonts w:ascii="Aptos" w:hAnsi="Aptos" w:cs="Times New Roman"/>
          <w:b/>
          <w:bCs/>
          <w:sz w:val="24"/>
          <w:szCs w:val="24"/>
        </w:rPr>
      </w:pPr>
      <w:r w:rsidRPr="003C4C9D">
        <w:rPr>
          <w:rFonts w:ascii="Aptos" w:hAnsi="Aptos" w:cs="Times New Roman"/>
          <w:b/>
          <w:bCs/>
          <w:sz w:val="24"/>
          <w:szCs w:val="24"/>
        </w:rPr>
        <w:t>Povjerenstvo za provedbu natječaja</w:t>
      </w:r>
    </w:p>
    <w:p w14:paraId="56016455" w14:textId="18F7A00B" w:rsidR="00E05A54" w:rsidRPr="003C4C9D" w:rsidRDefault="00E05A54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KLASA: </w:t>
      </w:r>
      <w:r w:rsidR="006D2B42" w:rsidRPr="003C4C9D">
        <w:rPr>
          <w:rFonts w:ascii="Aptos" w:hAnsi="Aptos" w:cs="Times New Roman"/>
          <w:sz w:val="24"/>
          <w:szCs w:val="24"/>
        </w:rPr>
        <w:t>112-02/25-01/21</w:t>
      </w:r>
    </w:p>
    <w:p w14:paraId="0E72F510" w14:textId="0CD3089D" w:rsidR="00E05A54" w:rsidRPr="003C4C9D" w:rsidRDefault="00E05A54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URBROJ: </w:t>
      </w:r>
      <w:r w:rsidR="00C63210" w:rsidRPr="003C4C9D">
        <w:rPr>
          <w:rFonts w:ascii="Aptos" w:hAnsi="Aptos" w:cs="Times New Roman"/>
          <w:sz w:val="24"/>
          <w:szCs w:val="24"/>
        </w:rPr>
        <w:t>2117-10</w:t>
      </w:r>
      <w:r w:rsidR="006D2B42" w:rsidRPr="003C4C9D">
        <w:rPr>
          <w:rFonts w:ascii="Aptos" w:hAnsi="Aptos" w:cs="Times New Roman"/>
          <w:sz w:val="24"/>
          <w:szCs w:val="24"/>
        </w:rPr>
        <w:t>7-01-25-</w:t>
      </w:r>
      <w:r w:rsidR="009D4F75">
        <w:rPr>
          <w:rFonts w:ascii="Aptos" w:hAnsi="Aptos" w:cs="Times New Roman"/>
          <w:sz w:val="24"/>
          <w:szCs w:val="24"/>
        </w:rPr>
        <w:t>1</w:t>
      </w:r>
      <w:r w:rsidR="00342793">
        <w:rPr>
          <w:rFonts w:ascii="Aptos" w:hAnsi="Aptos" w:cs="Times New Roman"/>
          <w:sz w:val="24"/>
          <w:szCs w:val="24"/>
        </w:rPr>
        <w:t>4</w:t>
      </w:r>
    </w:p>
    <w:p w14:paraId="3232E9B2" w14:textId="641E6B05" w:rsidR="005346F8" w:rsidRPr="003C4C9D" w:rsidRDefault="005346F8" w:rsidP="009D641F">
      <w:pPr>
        <w:spacing w:after="0" w:line="276" w:lineRule="auto"/>
        <w:rPr>
          <w:rFonts w:ascii="Aptos" w:hAnsi="Aptos" w:cs="Times New Roman"/>
          <w:sz w:val="24"/>
          <w:szCs w:val="24"/>
        </w:rPr>
      </w:pPr>
      <w:r w:rsidRPr="003C4C9D">
        <w:rPr>
          <w:rFonts w:ascii="Aptos" w:hAnsi="Aptos" w:cs="Times New Roman"/>
          <w:sz w:val="24"/>
          <w:szCs w:val="24"/>
        </w:rPr>
        <w:t xml:space="preserve">Metković, </w:t>
      </w:r>
      <w:r w:rsidR="00AC09AC" w:rsidRPr="003C4C9D">
        <w:rPr>
          <w:rFonts w:ascii="Aptos" w:hAnsi="Aptos" w:cs="Times New Roman"/>
          <w:sz w:val="24"/>
          <w:szCs w:val="24"/>
        </w:rPr>
        <w:t>4</w:t>
      </w:r>
      <w:r w:rsidR="006D2B42" w:rsidRPr="003C4C9D">
        <w:rPr>
          <w:rFonts w:ascii="Aptos" w:hAnsi="Aptos" w:cs="Times New Roman"/>
          <w:sz w:val="24"/>
          <w:szCs w:val="24"/>
        </w:rPr>
        <w:t>. prosinca 2025. godine</w:t>
      </w:r>
    </w:p>
    <w:p w14:paraId="1EC79CD7" w14:textId="77777777" w:rsidR="006D2B42" w:rsidRPr="003C4C9D" w:rsidRDefault="006D2B42" w:rsidP="009D641F">
      <w:pPr>
        <w:spacing w:after="0" w:line="276" w:lineRule="auto"/>
        <w:rPr>
          <w:rFonts w:ascii="Aptos" w:eastAsia="Times New Roman" w:hAnsi="Aptos" w:cs="Times New Roman"/>
          <w:b/>
          <w:sz w:val="24"/>
          <w:szCs w:val="24"/>
          <w:lang w:eastAsia="hr-HR"/>
        </w:rPr>
      </w:pPr>
    </w:p>
    <w:p w14:paraId="6EFACAC3" w14:textId="77777777" w:rsidR="00C63210" w:rsidRPr="003C4C9D" w:rsidRDefault="00C63210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2ECF4534" w14:textId="5EF499EB" w:rsidR="00E70630" w:rsidRPr="003C4C9D" w:rsidRDefault="006D2B42" w:rsidP="009D641F">
      <w:pPr>
        <w:spacing w:after="0" w:line="276" w:lineRule="auto"/>
        <w:jc w:val="both"/>
        <w:rPr>
          <w:rFonts w:ascii="Aptos" w:hAnsi="Aptos" w:cs="Times New Roman"/>
          <w:bCs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 xml:space="preserve">Na temelju članka </w:t>
      </w:r>
      <w:r w:rsidR="000551CA" w:rsidRPr="003C4C9D">
        <w:rPr>
          <w:rFonts w:ascii="Aptos" w:hAnsi="Aptos" w:cs="Times New Roman"/>
          <w:bCs/>
          <w:sz w:val="24"/>
          <w:szCs w:val="24"/>
        </w:rPr>
        <w:t xml:space="preserve">9. i 10. Pravilnika o radu Dječjeg vrtića Metković (KLASA: 601-07/24-01/01; URBROJ: 2117-107-02-24-1) od 16. svibnja 2024. godine, Povjerenstvo za provedbu natječaja za radno mjesto Tajnik/ica u Dječjem vrtiću Metković, dana </w:t>
      </w:r>
      <w:r w:rsidR="00AC09AC" w:rsidRPr="003C4C9D">
        <w:rPr>
          <w:rFonts w:ascii="Aptos" w:hAnsi="Aptos" w:cs="Times New Roman"/>
          <w:bCs/>
          <w:sz w:val="24"/>
          <w:szCs w:val="24"/>
        </w:rPr>
        <w:t>4</w:t>
      </w:r>
      <w:r w:rsidR="000551CA" w:rsidRPr="003C4C9D">
        <w:rPr>
          <w:rFonts w:ascii="Aptos" w:hAnsi="Aptos" w:cs="Times New Roman"/>
          <w:bCs/>
          <w:sz w:val="24"/>
          <w:szCs w:val="24"/>
        </w:rPr>
        <w:t xml:space="preserve">. prosinca 2025. godine objavljuje </w:t>
      </w:r>
    </w:p>
    <w:p w14:paraId="35FF254F" w14:textId="77777777" w:rsidR="006D2B42" w:rsidRPr="003C4C9D" w:rsidRDefault="006D2B42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68795DC2" w14:textId="491FAC15" w:rsidR="000551CA" w:rsidRPr="003C4C9D" w:rsidRDefault="000551CA" w:rsidP="009D641F">
      <w:pPr>
        <w:spacing w:after="0" w:line="276" w:lineRule="auto"/>
        <w:jc w:val="center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/>
          <w:sz w:val="24"/>
          <w:szCs w:val="24"/>
        </w:rPr>
        <w:t>POZIV</w:t>
      </w:r>
    </w:p>
    <w:p w14:paraId="56BA1316" w14:textId="5F19709A" w:rsidR="000551CA" w:rsidRPr="003C4C9D" w:rsidRDefault="000551CA" w:rsidP="009D641F">
      <w:pPr>
        <w:spacing w:after="0" w:line="276" w:lineRule="auto"/>
        <w:jc w:val="center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/>
          <w:sz w:val="24"/>
          <w:szCs w:val="24"/>
        </w:rPr>
        <w:t>NA PRETHODNU PROVJERU ZNANJA I SPOSOBNOSTI</w:t>
      </w:r>
    </w:p>
    <w:p w14:paraId="384B7F35" w14:textId="53AA1246" w:rsidR="000551CA" w:rsidRPr="003C4C9D" w:rsidRDefault="000551CA" w:rsidP="009D641F">
      <w:pPr>
        <w:spacing w:after="0" w:line="276" w:lineRule="auto"/>
        <w:jc w:val="center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/>
          <w:sz w:val="24"/>
          <w:szCs w:val="24"/>
        </w:rPr>
        <w:t>(PISANO TESTIRANJE)</w:t>
      </w:r>
    </w:p>
    <w:p w14:paraId="19534E76" w14:textId="77777777" w:rsidR="000551CA" w:rsidRPr="003C4C9D" w:rsidRDefault="000551CA" w:rsidP="009D641F">
      <w:pPr>
        <w:spacing w:after="0" w:line="276" w:lineRule="auto"/>
        <w:rPr>
          <w:rFonts w:ascii="Aptos" w:hAnsi="Aptos" w:cs="Times New Roman"/>
          <w:b/>
          <w:sz w:val="24"/>
          <w:szCs w:val="24"/>
        </w:rPr>
      </w:pPr>
    </w:p>
    <w:p w14:paraId="1DFCD26C" w14:textId="30671C10" w:rsidR="000551CA" w:rsidRPr="003C4C9D" w:rsidRDefault="000551CA" w:rsidP="009D641F">
      <w:pPr>
        <w:pStyle w:val="Odlomakpopisa"/>
        <w:numPr>
          <w:ilvl w:val="0"/>
          <w:numId w:val="6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Povjerenstvo je utvrdilo da pisanom testiranju mogu pristupiti kandidati:</w:t>
      </w:r>
    </w:p>
    <w:p w14:paraId="37827927" w14:textId="77777777" w:rsidR="00AC09AC" w:rsidRPr="003C4C9D" w:rsidRDefault="00AC09AC" w:rsidP="00AC09AC">
      <w:pPr>
        <w:pStyle w:val="Odlomakpopisa"/>
        <w:spacing w:after="0" w:line="276" w:lineRule="auto"/>
        <w:ind w:left="1080"/>
        <w:rPr>
          <w:rFonts w:ascii="Aptos" w:hAnsi="Aptos" w:cs="Times New Roman"/>
          <w:b/>
          <w:sz w:val="24"/>
          <w:szCs w:val="24"/>
        </w:rPr>
      </w:pPr>
    </w:p>
    <w:p w14:paraId="5FD4696C" w14:textId="7FE3E015" w:rsidR="000551CA" w:rsidRPr="003C4C9D" w:rsidRDefault="00AC09AC" w:rsidP="009D641F">
      <w:pPr>
        <w:pStyle w:val="Odlomakpopisa"/>
        <w:numPr>
          <w:ilvl w:val="0"/>
          <w:numId w:val="8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Nikola Manenica, Zagrebačka 50, 20350 Metković</w:t>
      </w:r>
    </w:p>
    <w:p w14:paraId="08C6B45A" w14:textId="0DEAC1BD" w:rsidR="000551CA" w:rsidRPr="003C4C9D" w:rsidRDefault="00AC09AC" w:rsidP="00AC09AC">
      <w:pPr>
        <w:pStyle w:val="Odlomakpopisa"/>
        <w:numPr>
          <w:ilvl w:val="0"/>
          <w:numId w:val="8"/>
        </w:numPr>
        <w:spacing w:after="0" w:line="276" w:lineRule="auto"/>
        <w:jc w:val="both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Marija Medar, Ive Lole Ribara 27, 20350 Metković</w:t>
      </w:r>
    </w:p>
    <w:p w14:paraId="2A20E422" w14:textId="375C7E11" w:rsidR="000551CA" w:rsidRPr="003C4C9D" w:rsidRDefault="00AC09AC" w:rsidP="009D641F">
      <w:pPr>
        <w:pStyle w:val="Odlomakpopisa"/>
        <w:numPr>
          <w:ilvl w:val="0"/>
          <w:numId w:val="8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Barbara Zovko, Petra Krešimira IV 54, 20350 Metković</w:t>
      </w:r>
    </w:p>
    <w:p w14:paraId="014360E3" w14:textId="4B753D6A" w:rsidR="000551CA" w:rsidRPr="003C4C9D" w:rsidRDefault="00AC09AC" w:rsidP="009D641F">
      <w:pPr>
        <w:pStyle w:val="Odlomakpopisa"/>
        <w:numPr>
          <w:ilvl w:val="0"/>
          <w:numId w:val="8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Josip Kežić, Skale 2/3, 20350 Metković</w:t>
      </w:r>
    </w:p>
    <w:p w14:paraId="6870348C" w14:textId="77777777" w:rsidR="00AC09AC" w:rsidRPr="003C4C9D" w:rsidRDefault="00AC09AC" w:rsidP="00AC09AC">
      <w:pPr>
        <w:pStyle w:val="Odlomakpopisa"/>
        <w:spacing w:after="0" w:line="276" w:lineRule="auto"/>
        <w:ind w:left="1440"/>
        <w:rPr>
          <w:rFonts w:ascii="Aptos" w:hAnsi="Aptos" w:cs="Times New Roman"/>
          <w:b/>
          <w:sz w:val="24"/>
          <w:szCs w:val="24"/>
        </w:rPr>
      </w:pPr>
    </w:p>
    <w:p w14:paraId="53A7B8CD" w14:textId="7A330446" w:rsidR="000551CA" w:rsidRPr="003C4C9D" w:rsidRDefault="000551CA" w:rsidP="00AC09AC">
      <w:pPr>
        <w:pStyle w:val="Odlomakpopisa"/>
        <w:numPr>
          <w:ilvl w:val="0"/>
          <w:numId w:val="6"/>
        </w:numPr>
        <w:spacing w:after="0" w:line="276" w:lineRule="auto"/>
        <w:rPr>
          <w:rFonts w:ascii="Aptos" w:hAnsi="Aptos" w:cs="Times New Roman"/>
          <w:b/>
          <w:sz w:val="24"/>
          <w:szCs w:val="24"/>
        </w:rPr>
      </w:pPr>
      <w:r w:rsidRPr="003C4C9D">
        <w:rPr>
          <w:rFonts w:ascii="Aptos" w:hAnsi="Aptos" w:cs="Times New Roman"/>
          <w:bCs/>
          <w:sz w:val="24"/>
          <w:szCs w:val="24"/>
        </w:rPr>
        <w:t>Pisano testiranje će se održati</w:t>
      </w:r>
      <w:r w:rsidR="003C4C9D" w:rsidRPr="003C4C9D">
        <w:rPr>
          <w:rFonts w:ascii="Aptos" w:hAnsi="Aptos" w:cs="Times New Roman"/>
          <w:bCs/>
          <w:sz w:val="24"/>
          <w:szCs w:val="24"/>
        </w:rPr>
        <w:t xml:space="preserve"> u prostorijama Grada Metkovića, na adresi</w:t>
      </w:r>
      <w:r w:rsidRPr="003C4C9D">
        <w:rPr>
          <w:rFonts w:ascii="Aptos" w:hAnsi="Aptos" w:cs="Times New Roman"/>
          <w:bCs/>
          <w:sz w:val="24"/>
          <w:szCs w:val="24"/>
        </w:rPr>
        <w:t xml:space="preserve"> Stjepana Radića 1, dana </w:t>
      </w:r>
      <w:r w:rsidR="003C4C9D" w:rsidRPr="003C4C9D">
        <w:rPr>
          <w:rFonts w:ascii="Aptos" w:hAnsi="Aptos" w:cs="Times New Roman"/>
          <w:bCs/>
          <w:sz w:val="24"/>
          <w:szCs w:val="24"/>
        </w:rPr>
        <w:t>11.</w:t>
      </w:r>
      <w:r w:rsidRPr="003C4C9D">
        <w:rPr>
          <w:rFonts w:ascii="Aptos" w:hAnsi="Aptos" w:cs="Times New Roman"/>
          <w:bCs/>
          <w:sz w:val="24"/>
          <w:szCs w:val="24"/>
        </w:rPr>
        <w:t xml:space="preserve"> </w:t>
      </w:r>
      <w:r w:rsidR="003C4C9D" w:rsidRPr="003C4C9D">
        <w:rPr>
          <w:rFonts w:ascii="Aptos" w:hAnsi="Aptos" w:cs="Times New Roman"/>
          <w:bCs/>
          <w:sz w:val="24"/>
          <w:szCs w:val="24"/>
        </w:rPr>
        <w:t>p</w:t>
      </w:r>
      <w:r w:rsidRPr="003C4C9D">
        <w:rPr>
          <w:rFonts w:ascii="Aptos" w:hAnsi="Aptos" w:cs="Times New Roman"/>
          <w:bCs/>
          <w:sz w:val="24"/>
          <w:szCs w:val="24"/>
        </w:rPr>
        <w:t xml:space="preserve">rosinca 2025. godine u </w:t>
      </w:r>
      <w:r w:rsidR="00B027A6">
        <w:rPr>
          <w:rFonts w:ascii="Aptos" w:hAnsi="Aptos" w:cs="Times New Roman"/>
          <w:bCs/>
          <w:sz w:val="24"/>
          <w:szCs w:val="24"/>
        </w:rPr>
        <w:t>8</w:t>
      </w:r>
      <w:r w:rsidRPr="003C4C9D">
        <w:rPr>
          <w:rFonts w:ascii="Aptos" w:hAnsi="Aptos" w:cs="Times New Roman"/>
          <w:bCs/>
          <w:sz w:val="24"/>
          <w:szCs w:val="24"/>
        </w:rPr>
        <w:t xml:space="preserve">:00 sati. </w:t>
      </w:r>
    </w:p>
    <w:p w14:paraId="43E1EC0D" w14:textId="087137D7" w:rsidR="00040408" w:rsidRPr="003C4C9D" w:rsidRDefault="00040408" w:rsidP="00B027A6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Na testiranje je potrebno ponijeti osobnu iskaznicu. Ne postoji mogućnost naknadnog pisanog testiranja, bez obzira na razloge koji kandidata eventualno priječe da testiranju pristupi u naznačeno vrijeme. Smatra se da je kandidat povukao prijavu na natječaj, ako se navedenog dana ne odazove do </w:t>
      </w:r>
      <w:r w:rsidR="00B027A6">
        <w:rPr>
          <w:rFonts w:ascii="Open Sans" w:hAnsi="Open Sans" w:cs="Open Sans"/>
          <w:sz w:val="23"/>
          <w:szCs w:val="23"/>
        </w:rPr>
        <w:t>8</w:t>
      </w:r>
      <w:r w:rsidRPr="003C4C9D">
        <w:rPr>
          <w:rFonts w:ascii="Open Sans" w:hAnsi="Open Sans" w:cs="Open Sans"/>
          <w:sz w:val="23"/>
          <w:szCs w:val="23"/>
        </w:rPr>
        <w:t>:05 sati, bez obzira na razloge.</w:t>
      </w:r>
    </w:p>
    <w:p w14:paraId="4D2974EE" w14:textId="77777777" w:rsidR="00040408" w:rsidRPr="003C4C9D" w:rsidRDefault="00040408" w:rsidP="009D641F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Smatrat će se da je prijava povučena ako se ne poštuju pravila ponašanja na testiranju, s kojima će biti upoznati prije početka testiranja.</w:t>
      </w:r>
    </w:p>
    <w:p w14:paraId="4A77AFDE" w14:textId="2CBDBC2B" w:rsidR="00040408" w:rsidRPr="003C4C9D" w:rsidRDefault="00040408" w:rsidP="009D641F">
      <w:pPr>
        <w:pStyle w:val="StandardWeb"/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Pisani test sastojat će se od 30 pitanja. Svako pitanje bodovat će se s 0,25 boda. Pravni izvori za pripremu kandidata za provjeru znanja navedeni su u ovom pozivu. Testiranje traje 60 minuta.</w:t>
      </w:r>
    </w:p>
    <w:p w14:paraId="6F6BB3B7" w14:textId="2276FB1A" w:rsidR="00040408" w:rsidRPr="003C4C9D" w:rsidRDefault="00040408" w:rsidP="009D641F">
      <w:pPr>
        <w:pStyle w:val="StandardWeb"/>
        <w:numPr>
          <w:ilvl w:val="0"/>
          <w:numId w:val="6"/>
        </w:numPr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lastRenderedPageBreak/>
        <w:t xml:space="preserve">Testiranje će se provesti na sljedeći način: </w:t>
      </w:r>
    </w:p>
    <w:p w14:paraId="4B03E2CE" w14:textId="2BC7C4F0" w:rsidR="00040408" w:rsidRPr="003C4C9D" w:rsidRDefault="00040408" w:rsidP="009D4F75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3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Pismena provjera znanja- provjera znanja bitnih za obavljanje poslova radnog mjesta tajnik/ica</w:t>
      </w:r>
    </w:p>
    <w:p w14:paraId="4FE16BCC" w14:textId="0F3BE6ED" w:rsidR="00040408" w:rsidRPr="003C4C9D" w:rsidRDefault="00040408" w:rsidP="009D4F75">
      <w:pPr>
        <w:pStyle w:val="StandardWeb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143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Razgovor (intervju) s kandidatima/ kinjama</w:t>
      </w:r>
    </w:p>
    <w:p w14:paraId="6F978830" w14:textId="796210FA" w:rsidR="00040408" w:rsidRPr="003C4C9D" w:rsidRDefault="00040408" w:rsidP="009D641F">
      <w:pPr>
        <w:pStyle w:val="StandardWeb"/>
        <w:shd w:val="clear" w:color="auto" w:fill="FFFFFF"/>
        <w:spacing w:before="75" w:beforeAutospacing="0" w:after="300" w:afterAutospacing="0" w:line="276" w:lineRule="auto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Izvori za pripremu provjere znanja su: </w:t>
      </w:r>
    </w:p>
    <w:p w14:paraId="1D8DE659" w14:textId="3F95A7E4" w:rsidR="00040408" w:rsidRPr="003C4C9D" w:rsidRDefault="00040408" w:rsidP="009D641F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Državni pedagoški standard predškolskog odgoja i naobrazbe (Narodne novine br. 63/08 i 90/10)</w:t>
      </w:r>
    </w:p>
    <w:p w14:paraId="74736943" w14:textId="34085390" w:rsidR="00040408" w:rsidRPr="003C4C9D" w:rsidRDefault="00040408" w:rsidP="009D641F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Zakon o predškolskom odgoju i obrazovanju (Narodne novine br. 10/97, 107/07, 94/13, 98/19, 57/22, 101/23)</w:t>
      </w:r>
    </w:p>
    <w:p w14:paraId="7FBE8A94" w14:textId="3214B0A5" w:rsidR="00040408" w:rsidRPr="003C4C9D" w:rsidRDefault="00040408" w:rsidP="009D641F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Zakon o radu (Narodne novine br. 93/14, 127/17, 98/19, 151/22, 46/23, 64/23)</w:t>
      </w:r>
    </w:p>
    <w:p w14:paraId="6FA4116F" w14:textId="1AE46200" w:rsidR="00040408" w:rsidRPr="003C4C9D" w:rsidRDefault="00040408" w:rsidP="009D641F">
      <w:pPr>
        <w:pStyle w:val="Standard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714" w:hanging="357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>Statut Dječjeg vrtića</w:t>
      </w:r>
      <w:r w:rsidR="003C4C9D">
        <w:rPr>
          <w:rFonts w:ascii="Open Sans" w:hAnsi="Open Sans" w:cs="Open Sans"/>
          <w:sz w:val="23"/>
          <w:szCs w:val="23"/>
        </w:rPr>
        <w:t xml:space="preserve"> Metković (</w:t>
      </w:r>
      <w:r w:rsidR="00D103C4">
        <w:rPr>
          <w:rFonts w:ascii="Open Sans" w:hAnsi="Open Sans" w:cs="Open Sans"/>
          <w:sz w:val="23"/>
          <w:szCs w:val="23"/>
        </w:rPr>
        <w:t xml:space="preserve">dostupan na poveznici </w:t>
      </w:r>
      <w:r w:rsidR="003C4C9D">
        <w:rPr>
          <w:rFonts w:ascii="Open Sans" w:hAnsi="Open Sans" w:cs="Open Sans"/>
          <w:sz w:val="23"/>
          <w:szCs w:val="23"/>
        </w:rPr>
        <w:t xml:space="preserve"> </w:t>
      </w:r>
      <w:hyperlink r:id="rId6" w:history="1">
        <w:r w:rsidR="003C4C9D" w:rsidRPr="00027F93">
          <w:rPr>
            <w:rStyle w:val="Hiperveza"/>
            <w:rFonts w:ascii="Open Sans" w:hAnsi="Open Sans" w:cs="Open Sans"/>
            <w:sz w:val="23"/>
            <w:szCs w:val="23"/>
          </w:rPr>
          <w:t>https://www.vrticimetkovic.hr/dokumenti/opci-akti-vrtica/</w:t>
        </w:r>
      </w:hyperlink>
      <w:r w:rsidR="003C4C9D">
        <w:rPr>
          <w:rFonts w:ascii="Open Sans" w:hAnsi="Open Sans" w:cs="Open Sans"/>
          <w:sz w:val="23"/>
          <w:szCs w:val="23"/>
        </w:rPr>
        <w:t xml:space="preserve"> )</w:t>
      </w:r>
    </w:p>
    <w:p w14:paraId="0E23D94B" w14:textId="77777777" w:rsidR="009D641F" w:rsidRPr="003C4C9D" w:rsidRDefault="009D641F" w:rsidP="009D641F">
      <w:pPr>
        <w:pStyle w:val="StandardWeb"/>
        <w:shd w:val="clear" w:color="auto" w:fill="FFFFFF"/>
        <w:spacing w:before="0" w:beforeAutospacing="0" w:after="0" w:afterAutospacing="0" w:line="276" w:lineRule="auto"/>
        <w:ind w:left="714"/>
        <w:jc w:val="both"/>
        <w:rPr>
          <w:rFonts w:ascii="Open Sans" w:hAnsi="Open Sans" w:cs="Open Sans"/>
          <w:sz w:val="23"/>
          <w:szCs w:val="23"/>
        </w:rPr>
      </w:pPr>
    </w:p>
    <w:p w14:paraId="23B6D172" w14:textId="1193B7E1" w:rsidR="009D641F" w:rsidRPr="003C4C9D" w:rsidRDefault="009D641F" w:rsidP="009D641F">
      <w:pPr>
        <w:pStyle w:val="StandardWeb"/>
        <w:numPr>
          <w:ilvl w:val="0"/>
          <w:numId w:val="6"/>
        </w:numPr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Rezultati testiranja objaviti će se na web-stranici Dječjeg vrtića Metković  </w:t>
      </w:r>
      <w:hyperlink r:id="rId7" w:history="1">
        <w:r w:rsidRPr="003C4C9D">
          <w:rPr>
            <w:rStyle w:val="Hiperveza"/>
            <w:rFonts w:ascii="Open Sans" w:hAnsi="Open Sans" w:cs="Open Sans"/>
            <w:color w:val="auto"/>
            <w:sz w:val="23"/>
            <w:szCs w:val="23"/>
          </w:rPr>
          <w:t>www.vrticimetkovic.hr</w:t>
        </w:r>
      </w:hyperlink>
      <w:r w:rsidRPr="003C4C9D">
        <w:rPr>
          <w:rFonts w:ascii="Open Sans" w:hAnsi="Open Sans" w:cs="Open Sans"/>
          <w:sz w:val="23"/>
          <w:szCs w:val="23"/>
        </w:rPr>
        <w:t xml:space="preserve"> i na oglasnoj ploči Dječjeg vrtića Metković. S kandidatima koji na pisanom testiranju ostvare najmanje 50% bodova obaviti će se intervju neposredno nakon pisanog testiranja (nakon bodovanja). </w:t>
      </w:r>
    </w:p>
    <w:p w14:paraId="420687DF" w14:textId="731AEF5B" w:rsidR="009D641F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ind w:left="108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Razgovor (intervju) s Povjerenstvom održati će se odmah nakon ocijenjenog testiranja. </w:t>
      </w:r>
    </w:p>
    <w:p w14:paraId="770B2E13" w14:textId="6565757C" w:rsidR="009D641F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ind w:left="108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Nakon provedenog razgovora (intervjua), Povjerenstvo će utvrditi rang listu kandidata prema ukupnom broju bodova ostvarenih na provjeri znanja i razgovoru. </w:t>
      </w:r>
    </w:p>
    <w:p w14:paraId="711F904E" w14:textId="2657C21C" w:rsidR="009D641F" w:rsidRPr="003C4C9D" w:rsidRDefault="009D641F" w:rsidP="009D641F">
      <w:pPr>
        <w:pStyle w:val="StandardWeb"/>
        <w:numPr>
          <w:ilvl w:val="0"/>
          <w:numId w:val="6"/>
        </w:numPr>
        <w:shd w:val="clear" w:color="auto" w:fill="FFFFFF"/>
        <w:spacing w:before="75" w:beforeAutospacing="0" w:after="300" w:afterAutospacing="0"/>
        <w:jc w:val="both"/>
        <w:rPr>
          <w:rFonts w:ascii="Open Sans" w:hAnsi="Open Sans" w:cs="Open Sans"/>
          <w:sz w:val="23"/>
          <w:szCs w:val="23"/>
        </w:rPr>
      </w:pPr>
      <w:r w:rsidRPr="003C4C9D">
        <w:rPr>
          <w:rFonts w:ascii="Open Sans" w:hAnsi="Open Sans" w:cs="Open Sans"/>
          <w:sz w:val="23"/>
          <w:szCs w:val="23"/>
        </w:rPr>
        <w:t xml:space="preserve">Ovaj poziv objavljuje se na web stranici Dječjeg vrtića Metković </w:t>
      </w:r>
      <w:hyperlink r:id="rId8" w:history="1">
        <w:r w:rsidRPr="003C4C9D">
          <w:rPr>
            <w:rStyle w:val="Hiperveza"/>
            <w:rFonts w:ascii="Open Sans" w:hAnsi="Open Sans" w:cs="Open Sans"/>
            <w:color w:val="auto"/>
            <w:sz w:val="23"/>
            <w:szCs w:val="23"/>
          </w:rPr>
          <w:t>www.vrticimetkovic.hr</w:t>
        </w:r>
      </w:hyperlink>
      <w:r w:rsidRPr="003C4C9D">
        <w:rPr>
          <w:rFonts w:ascii="Open Sans" w:hAnsi="Open Sans" w:cs="Open Sans"/>
          <w:sz w:val="23"/>
          <w:szCs w:val="23"/>
        </w:rPr>
        <w:t xml:space="preserve"> i na oglasnoj ploči Dječjeg vrtića Metković</w:t>
      </w:r>
    </w:p>
    <w:p w14:paraId="1617A418" w14:textId="77777777" w:rsidR="009D641F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rPr>
          <w:rFonts w:ascii="Open Sans" w:hAnsi="Open Sans" w:cs="Open Sans"/>
          <w:sz w:val="23"/>
          <w:szCs w:val="23"/>
        </w:rPr>
      </w:pPr>
    </w:p>
    <w:p w14:paraId="2AB81CD9" w14:textId="77198761" w:rsidR="000551CA" w:rsidRPr="003C4C9D" w:rsidRDefault="009D641F" w:rsidP="009D641F">
      <w:pPr>
        <w:pStyle w:val="StandardWeb"/>
        <w:shd w:val="clear" w:color="auto" w:fill="FFFFFF"/>
        <w:spacing w:before="75" w:beforeAutospacing="0" w:after="300" w:afterAutospacing="0"/>
        <w:jc w:val="right"/>
        <w:rPr>
          <w:rFonts w:ascii="Open Sans" w:hAnsi="Open Sans" w:cs="Open Sans"/>
          <w:b/>
          <w:bCs/>
          <w:sz w:val="23"/>
          <w:szCs w:val="23"/>
        </w:rPr>
      </w:pPr>
      <w:r w:rsidRPr="003C4C9D">
        <w:rPr>
          <w:rFonts w:ascii="Open Sans" w:hAnsi="Open Sans" w:cs="Open Sans"/>
          <w:b/>
          <w:bCs/>
          <w:sz w:val="23"/>
          <w:szCs w:val="23"/>
        </w:rPr>
        <w:t>POVJERENSTVO ZA PROVEDBU NATJEČAJA</w:t>
      </w:r>
    </w:p>
    <w:sectPr w:rsidR="000551CA" w:rsidRPr="003C4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30F3"/>
    <w:multiLevelType w:val="hybridMultilevel"/>
    <w:tmpl w:val="DB3AD23C"/>
    <w:lvl w:ilvl="0" w:tplc="E75086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B21985"/>
    <w:multiLevelType w:val="hybridMultilevel"/>
    <w:tmpl w:val="BD6EBD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C452E"/>
    <w:multiLevelType w:val="hybridMultilevel"/>
    <w:tmpl w:val="74F452E0"/>
    <w:lvl w:ilvl="0" w:tplc="795C2B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3229BA"/>
    <w:multiLevelType w:val="hybridMultilevel"/>
    <w:tmpl w:val="5270F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03E60"/>
    <w:multiLevelType w:val="hybridMultilevel"/>
    <w:tmpl w:val="F522C5A8"/>
    <w:lvl w:ilvl="0" w:tplc="8D324C56">
      <w:start w:val="3"/>
      <w:numFmt w:val="bullet"/>
      <w:lvlText w:val="-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471013F"/>
    <w:multiLevelType w:val="hybridMultilevel"/>
    <w:tmpl w:val="C4403F1A"/>
    <w:lvl w:ilvl="0" w:tplc="3628F14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54ED7"/>
    <w:multiLevelType w:val="hybridMultilevel"/>
    <w:tmpl w:val="73C24EB6"/>
    <w:lvl w:ilvl="0" w:tplc="1A7C7DE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374B"/>
    <w:multiLevelType w:val="hybridMultilevel"/>
    <w:tmpl w:val="0C86BA3A"/>
    <w:lvl w:ilvl="0" w:tplc="DE80559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A431D4"/>
    <w:multiLevelType w:val="hybridMultilevel"/>
    <w:tmpl w:val="2F9000D8"/>
    <w:lvl w:ilvl="0" w:tplc="9BC6953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C319C6"/>
    <w:multiLevelType w:val="hybridMultilevel"/>
    <w:tmpl w:val="7BFACC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44589">
    <w:abstractNumId w:val="2"/>
  </w:num>
  <w:num w:numId="2" w16cid:durableId="1467429618">
    <w:abstractNumId w:val="3"/>
  </w:num>
  <w:num w:numId="3" w16cid:durableId="318534622">
    <w:abstractNumId w:val="7"/>
  </w:num>
  <w:num w:numId="4" w16cid:durableId="1141071121">
    <w:abstractNumId w:val="5"/>
  </w:num>
  <w:num w:numId="5" w16cid:durableId="851991345">
    <w:abstractNumId w:val="9"/>
  </w:num>
  <w:num w:numId="6" w16cid:durableId="2055426836">
    <w:abstractNumId w:val="6"/>
  </w:num>
  <w:num w:numId="7" w16cid:durableId="1057363087">
    <w:abstractNumId w:val="0"/>
  </w:num>
  <w:num w:numId="8" w16cid:durableId="1217552428">
    <w:abstractNumId w:val="8"/>
  </w:num>
  <w:num w:numId="9" w16cid:durableId="445126929">
    <w:abstractNumId w:val="4"/>
  </w:num>
  <w:num w:numId="10" w16cid:durableId="179937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54"/>
    <w:rsid w:val="00030457"/>
    <w:rsid w:val="00040408"/>
    <w:rsid w:val="000551CA"/>
    <w:rsid w:val="00222BE6"/>
    <w:rsid w:val="002457B7"/>
    <w:rsid w:val="00342793"/>
    <w:rsid w:val="003C4C9D"/>
    <w:rsid w:val="003C5A62"/>
    <w:rsid w:val="004454FC"/>
    <w:rsid w:val="00453E6D"/>
    <w:rsid w:val="004F49F2"/>
    <w:rsid w:val="005117B2"/>
    <w:rsid w:val="005346F8"/>
    <w:rsid w:val="00583713"/>
    <w:rsid w:val="005938BC"/>
    <w:rsid w:val="005C5C4C"/>
    <w:rsid w:val="00607727"/>
    <w:rsid w:val="00656E71"/>
    <w:rsid w:val="00673E17"/>
    <w:rsid w:val="006953EF"/>
    <w:rsid w:val="006A70B1"/>
    <w:rsid w:val="006C0974"/>
    <w:rsid w:val="006D2B42"/>
    <w:rsid w:val="007D3789"/>
    <w:rsid w:val="007D4543"/>
    <w:rsid w:val="00800D11"/>
    <w:rsid w:val="008928F6"/>
    <w:rsid w:val="009243AD"/>
    <w:rsid w:val="009D4F75"/>
    <w:rsid w:val="009D641F"/>
    <w:rsid w:val="00A92166"/>
    <w:rsid w:val="00AC09AC"/>
    <w:rsid w:val="00B027A6"/>
    <w:rsid w:val="00BC005E"/>
    <w:rsid w:val="00BD1DA6"/>
    <w:rsid w:val="00C10979"/>
    <w:rsid w:val="00C63210"/>
    <w:rsid w:val="00D103C4"/>
    <w:rsid w:val="00D32D07"/>
    <w:rsid w:val="00D850D1"/>
    <w:rsid w:val="00E05A54"/>
    <w:rsid w:val="00E70630"/>
    <w:rsid w:val="00FA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78FA"/>
  <w15:chartTrackingRefBased/>
  <w15:docId w15:val="{C958E441-BFD2-4D6B-816B-C0C950D1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346F8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040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40408"/>
    <w:rPr>
      <w:b/>
      <w:bCs/>
    </w:rPr>
  </w:style>
  <w:style w:type="character" w:styleId="Hiperveza">
    <w:name w:val="Hyperlink"/>
    <w:basedOn w:val="Zadanifontodlomka"/>
    <w:uiPriority w:val="99"/>
    <w:unhideWhenUsed/>
    <w:rsid w:val="009D641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D641F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3C4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ticimetkovic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rtici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rticimetkovic.hr/dokumenti/opci-akti-vrtic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Vinka Šimunović</cp:lastModifiedBy>
  <cp:revision>8</cp:revision>
  <cp:lastPrinted>2025-12-04T11:57:00Z</cp:lastPrinted>
  <dcterms:created xsi:type="dcterms:W3CDTF">2025-12-03T08:22:00Z</dcterms:created>
  <dcterms:modified xsi:type="dcterms:W3CDTF">2025-12-04T12:30:00Z</dcterms:modified>
</cp:coreProperties>
</file>